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C2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/>
          <w:bCs w:val="0"/>
          <w:sz w:val="22"/>
          <w:szCs w:val="22"/>
        </w:rPr>
        <w:t>Supplementary Information</w:t>
      </w:r>
      <w:r>
        <w:rPr>
          <w:rFonts w:hint="default" w:ascii="Arial" w:hAnsi="Arial" w:cs="Arial"/>
          <w:b w:val="0"/>
          <w:sz w:val="22"/>
          <w:szCs w:val="22"/>
        </w:rPr>
        <w:t xml:space="preserve"> for article named “</w:t>
      </w:r>
      <w:r>
        <w:rPr>
          <w:rFonts w:hint="default" w:ascii="Arial" w:hAnsi="Arial" w:cs="Arial"/>
          <w:b/>
          <w:bCs w:val="0"/>
          <w:sz w:val="22"/>
          <w:szCs w:val="22"/>
        </w:rPr>
        <w:t>Causal Relationship between Chronic Gastritis and Sleep Apnea Syndrome: A Bidirectional and Mediated Mendelian Randomization Study</w:t>
      </w:r>
      <w:r>
        <w:rPr>
          <w:rFonts w:hint="default" w:ascii="Arial" w:hAnsi="Arial" w:cs="Arial"/>
          <w:b w:val="0"/>
          <w:sz w:val="22"/>
          <w:szCs w:val="22"/>
        </w:rPr>
        <w:t>”</w:t>
      </w:r>
    </w:p>
    <w:p w14:paraId="6E5E3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Contents include six supplementary figures and six supplementary tables.</w:t>
      </w:r>
    </w:p>
    <w:p w14:paraId="100CE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</w:p>
    <w:p w14:paraId="75CEC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Fig. S1 MR effect size for Sleep Apnea Syndrome on Chronic Gastritis</w:t>
      </w:r>
    </w:p>
    <w:p w14:paraId="0739B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Fig. S2 MR leave−one−out sensitivity analysis for Sleep Apnea Syndrome on Chronic Gastritis</w:t>
      </w:r>
    </w:p>
    <w:p w14:paraId="1A38B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Fig. S3 The funnel plot of chronic gastritis to SAS</w:t>
      </w:r>
    </w:p>
    <w:p w14:paraId="0E08D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Fig. S4 MR effect size for Chronic Gastritis on Sleep Apnea Syndrome</w:t>
      </w:r>
    </w:p>
    <w:p w14:paraId="7B619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Fig. S5 MR leave−one−out sensitivity analysis for Chronic Gastritis on Sleep Apnea Syndrome</w:t>
      </w:r>
    </w:p>
    <w:p w14:paraId="6A9B7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Fig. S6 The funnel plot of SAS to chronic gastritis</w:t>
      </w:r>
    </w:p>
    <w:p w14:paraId="78845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</w:p>
    <w:p w14:paraId="51B01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Table S1 Results of two-sample Mendelian Randomization Analysis between SAS and chronic gastritis</w:t>
      </w:r>
    </w:p>
    <w:p w14:paraId="55E0D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Table S</w:t>
      </w:r>
      <w:r>
        <w:rPr>
          <w:rFonts w:hint="eastAsia" w:ascii="Arial" w:hAnsi="Arial" w:cs="Arial"/>
          <w:b w:val="0"/>
          <w:sz w:val="22"/>
          <w:szCs w:val="22"/>
          <w:lang w:val="en-US" w:eastAsia="zh-CN"/>
        </w:rPr>
        <w:t>2</w:t>
      </w:r>
      <w:r>
        <w:rPr>
          <w:rFonts w:hint="default" w:ascii="Arial" w:hAnsi="Arial" w:cs="Arial"/>
          <w:b w:val="0"/>
          <w:sz w:val="22"/>
          <w:szCs w:val="22"/>
        </w:rPr>
        <w:t xml:space="preserve"> Results of reverse Mendelian Randomization Analysis between chronic gastritis and SAS</w:t>
      </w:r>
    </w:p>
    <w:p w14:paraId="1E61B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Table S</w:t>
      </w:r>
      <w:r>
        <w:rPr>
          <w:rFonts w:hint="eastAsia" w:ascii="Arial" w:hAnsi="Arial" w:cs="Arial"/>
          <w:b w:val="0"/>
          <w:sz w:val="22"/>
          <w:szCs w:val="22"/>
          <w:lang w:val="en-US" w:eastAsia="zh-CN"/>
        </w:rPr>
        <w:t>3</w:t>
      </w:r>
      <w:r>
        <w:rPr>
          <w:rFonts w:hint="default" w:ascii="Arial" w:hAnsi="Arial" w:cs="Arial"/>
          <w:b w:val="0"/>
          <w:sz w:val="22"/>
          <w:szCs w:val="22"/>
        </w:rPr>
        <w:t xml:space="preserve"> Results of heterogeneity test analysis of positive MR</w:t>
      </w:r>
    </w:p>
    <w:p w14:paraId="26FEA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Table S</w:t>
      </w:r>
      <w:r>
        <w:rPr>
          <w:rFonts w:hint="eastAsia" w:ascii="Arial" w:hAnsi="Arial" w:cs="Arial"/>
          <w:b w:val="0"/>
          <w:sz w:val="22"/>
          <w:szCs w:val="22"/>
          <w:lang w:val="en-US" w:eastAsia="zh-CN"/>
        </w:rPr>
        <w:t>4</w:t>
      </w:r>
      <w:r>
        <w:rPr>
          <w:rFonts w:hint="default" w:ascii="Arial" w:hAnsi="Arial" w:cs="Arial"/>
          <w:b w:val="0"/>
          <w:sz w:val="22"/>
          <w:szCs w:val="22"/>
        </w:rPr>
        <w:t xml:space="preserve"> Results of MR-PRESSO test of positive MR</w:t>
      </w:r>
    </w:p>
    <w:p w14:paraId="5C88A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Table S5 Results of hete</w:t>
      </w:r>
      <w:bookmarkStart w:id="0" w:name="_GoBack"/>
      <w:bookmarkEnd w:id="0"/>
      <w:r>
        <w:rPr>
          <w:rFonts w:hint="default" w:ascii="Arial" w:hAnsi="Arial" w:cs="Arial"/>
          <w:b w:val="0"/>
          <w:sz w:val="22"/>
          <w:szCs w:val="22"/>
        </w:rPr>
        <w:t>rogeneity test analysis of reverse MR</w:t>
      </w:r>
    </w:p>
    <w:p w14:paraId="02837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  <w:r>
        <w:rPr>
          <w:rFonts w:hint="default" w:ascii="Arial" w:hAnsi="Arial" w:cs="Arial"/>
          <w:b w:val="0"/>
          <w:sz w:val="22"/>
          <w:szCs w:val="22"/>
        </w:rPr>
        <w:t>Table S6 Results of MR-PRESSO test of reverse MR</w:t>
      </w:r>
    </w:p>
    <w:p w14:paraId="7C889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Arial" w:hAnsi="Arial" w:cs="Arial"/>
          <w:b w:val="0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F0A"/>
    <w:rsid w:val="00424368"/>
    <w:rsid w:val="007D5447"/>
    <w:rsid w:val="00A93F0A"/>
    <w:rsid w:val="639B1ED2"/>
    <w:rsid w:val="7EFF722B"/>
    <w:rsid w:val="EDFE1D8E"/>
    <w:rsid w:val="FFFDC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929</Characters>
  <Lines>7</Lines>
  <Paragraphs>2</Paragraphs>
  <TotalTime>0</TotalTime>
  <ScaleCrop>false</ScaleCrop>
  <LinksUpToDate>false</LinksUpToDate>
  <CharactersWithSpaces>1079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2025-01-20T08:30:00Z</dcterms:created>
  <dc:creator>ziyanzhao@stu.njmu.edu.cn</dc:creator>
  <cp:lastModifiedBy>zhaoziyan</cp:lastModifiedBy>
  <dcterms:modified xsi:type="dcterms:W3CDTF">2025-07-10T00:39:30Z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6D56C9526471C55FF1BA8C67D74E30FE_42</vt:lpwstr>
  </property>
  <property fmtid="{D5CDD505-2E9C-101B-9397-08002B2CF9AE}" pid="4" name="KSOTemplateDocerSaveRecord">
    <vt:lpwstr>eyJoZGlkIjoiNGZjMGU4MzBlOGFjNmRhNGU3MzM5N2U5MzQzMzE4NGUiLCJ1c2VySWQiOiI3Mjk2MDQ1NjAifQ==</vt:lpwstr>
  </property>
</Properties>
</file>